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C0" w:rsidRDefault="001F37C0" w:rsidP="001F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1F37C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 xml:space="preserve">Правила сбора, утилизации и уничтожения </w:t>
      </w:r>
    </w:p>
    <w:p w:rsidR="001F37C0" w:rsidRDefault="001F37C0" w:rsidP="001F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  <w:r w:rsidRPr="001F37C0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биологических отходов</w:t>
      </w:r>
    </w:p>
    <w:p w:rsidR="001F37C0" w:rsidRPr="001F37C0" w:rsidRDefault="001F37C0" w:rsidP="001F3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</w:pP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Биологическими отходами являются:</w:t>
      </w: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трупы животных и птиц, в </w:t>
      </w:r>
      <w:proofErr w:type="spell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лабораторных;</w:t>
      </w: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абортированные и мертворожденные плоды.</w:t>
      </w: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p_30"/>
      <w:bookmarkEnd w:id="0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1" w:name="p_40"/>
      <w:bookmarkEnd w:id="1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</w:t>
      </w:r>
      <w:bookmarkStart w:id="2" w:name="_GoBack"/>
      <w:bookmarkEnd w:id="2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озяйства, акционерного общества и т.д., службу коммунального хозяйства местной администрации).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3" w:name="p_50"/>
      <w:bookmarkEnd w:id="3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</w:t>
      </w: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исключительных случаях </w:t>
      </w:r>
      <w:proofErr w:type="spell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захоранивают</w:t>
      </w:r>
      <w:proofErr w:type="spellEnd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специально отведенных местах.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4" w:name="p_60"/>
      <w:bookmarkEnd w:id="4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Места, отведенные для захоронения биологических отходов (скотомогильники), должны иметь одну или несколько биотермических ям.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5" w:name="p_70"/>
      <w:bookmarkEnd w:id="5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Уничтожение биологических отходов путем захоронения в землю категорически запрещается.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6" w:name="p_1"/>
      <w:bookmarkStart w:id="7" w:name="p_172"/>
      <w:bookmarkEnd w:id="6"/>
      <w:bookmarkEnd w:id="7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исключительных случаях,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енного ветеринарного инспектора </w:t>
      </w: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субъекта Российской Федерации.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8" w:name="p_173"/>
      <w:bookmarkEnd w:id="8"/>
      <w:r w:rsidRPr="001F37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Запрещается сброс биологических отходов в водоемы, реки и болота.</w:t>
      </w:r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9" w:name="p_80"/>
      <w:bookmarkEnd w:id="9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Категорически запрещается сброс биологических отходов в бытовые мусорные контейнеры и вывоз их на </w:t>
      </w:r>
      <w:proofErr w:type="gramStart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свалки</w:t>
      </w:r>
      <w:proofErr w:type="gramEnd"/>
      <w:r w:rsidRPr="001F37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полигоны для захоронения.</w:t>
      </w: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0" w:name="p_19"/>
      <w:bookmarkEnd w:id="10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Биологические отходы, зараженные или контаминированные возбудителями:</w:t>
      </w:r>
    </w:p>
    <w:p w:rsidR="001F37C0" w:rsidRPr="001F37C0" w:rsidRDefault="001F37C0" w:rsidP="001F3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сибирской язвы, эмфизематозного карбункула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чумы крупного рогатого скота</w:t>
      </w: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бешенства, туляремии, столбняка, злокачественного отека, катаральной лихорадки, африканской чумы свиней, ботулизма, сапа, эпизоотического лимфангоита, </w:t>
      </w:r>
      <w:proofErr w:type="spell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мелиоидоза</w:t>
      </w:r>
      <w:proofErr w:type="spellEnd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(ложного сапа), </w:t>
      </w:r>
      <w:proofErr w:type="spell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миксоматоза</w:t>
      </w:r>
      <w:proofErr w:type="spellEnd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геморрагической болезни кроликов, чумы птиц сжигают на месте, а также в </w:t>
      </w:r>
      <w:proofErr w:type="spellStart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трупосжигательных</w:t>
      </w:r>
      <w:proofErr w:type="spellEnd"/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печах или на специально отведенных площадках;</w:t>
      </w:r>
      <w:proofErr w:type="gramEnd"/>
    </w:p>
    <w:p w:rsidR="001F37C0" w:rsidRPr="001F37C0" w:rsidRDefault="001F37C0" w:rsidP="001F37C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3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болезней, ранее не регистрировавшихся на территории России, сжигают.</w:t>
      </w:r>
    </w:p>
    <w:sectPr w:rsidR="001F37C0" w:rsidRPr="001F37C0" w:rsidSect="001F37C0">
      <w:pgSz w:w="11906" w:h="16838"/>
      <w:pgMar w:top="719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0"/>
    <w:rsid w:val="001F37C0"/>
    <w:rsid w:val="00F1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Гаркун</dc:creator>
  <cp:keywords/>
  <dc:description/>
  <cp:lastModifiedBy>Дмитрий Гаркун</cp:lastModifiedBy>
  <cp:revision>1</cp:revision>
  <dcterms:created xsi:type="dcterms:W3CDTF">2018-06-07T23:18:00Z</dcterms:created>
  <dcterms:modified xsi:type="dcterms:W3CDTF">2018-06-07T23:36:00Z</dcterms:modified>
</cp:coreProperties>
</file>